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65E49" w14:textId="77777777" w:rsidR="00F67CED" w:rsidRDefault="00DC11CE">
      <w:pPr>
        <w:widowControl w:val="0"/>
        <w:pBdr>
          <w:top w:val="nil"/>
          <w:left w:val="nil"/>
          <w:bottom w:val="nil"/>
          <w:right w:val="nil"/>
          <w:between w:val="nil"/>
        </w:pBdr>
        <w:spacing w:before="0" w:line="240" w:lineRule="auto"/>
        <w:ind w:left="2608" w:right="0"/>
        <w:jc w:val="left"/>
        <w:rPr>
          <w:color w:val="000000"/>
          <w:sz w:val="22"/>
          <w:szCs w:val="22"/>
        </w:rPr>
      </w:pPr>
      <w:r>
        <w:rPr>
          <w:noProof/>
          <w:color w:val="000000"/>
          <w:sz w:val="22"/>
          <w:szCs w:val="22"/>
        </w:rPr>
        <w:drawing>
          <wp:inline distT="19050" distB="19050" distL="19050" distR="19050" wp14:anchorId="50296455" wp14:editId="5EFADF1A">
            <wp:extent cx="2170430" cy="10020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170430" cy="1002030"/>
                    </a:xfrm>
                    <a:prstGeom prst="rect">
                      <a:avLst/>
                    </a:prstGeom>
                    <a:ln/>
                  </pic:spPr>
                </pic:pic>
              </a:graphicData>
            </a:graphic>
          </wp:inline>
        </w:drawing>
      </w:r>
    </w:p>
    <w:p w14:paraId="1EEBDC35" w14:textId="77777777" w:rsidR="00F67CED" w:rsidRDefault="00DC11CE">
      <w:pPr>
        <w:widowControl w:val="0"/>
        <w:pBdr>
          <w:top w:val="nil"/>
          <w:left w:val="nil"/>
          <w:bottom w:val="nil"/>
          <w:right w:val="nil"/>
          <w:between w:val="nil"/>
        </w:pBdr>
        <w:spacing w:before="0" w:line="240" w:lineRule="auto"/>
        <w:ind w:left="1973" w:right="0"/>
        <w:jc w:val="left"/>
        <w:rPr>
          <w:b/>
          <w:bCs/>
          <w:color w:val="000000"/>
          <w:sz w:val="40"/>
          <w:szCs w:val="40"/>
        </w:rPr>
      </w:pPr>
      <w:r>
        <w:rPr>
          <w:color w:val="000000"/>
        </w:rPr>
        <w:t xml:space="preserve"> </w:t>
      </w:r>
      <w:r>
        <w:rPr>
          <w:b/>
          <w:bCs/>
          <w:color w:val="000000"/>
          <w:sz w:val="40"/>
          <w:szCs w:val="40"/>
        </w:rPr>
        <w:t xml:space="preserve">POSITION STATEMENT </w:t>
      </w:r>
    </w:p>
    <w:p w14:paraId="596B8DE2" w14:textId="77777777" w:rsidR="00F67CED" w:rsidRDefault="00DC11CE">
      <w:pPr>
        <w:widowControl w:val="0"/>
        <w:pBdr>
          <w:top w:val="nil"/>
          <w:left w:val="nil"/>
          <w:bottom w:val="nil"/>
          <w:right w:val="nil"/>
          <w:between w:val="nil"/>
        </w:pBdr>
        <w:spacing w:before="605" w:line="230" w:lineRule="auto"/>
        <w:ind w:left="531" w:right="615"/>
        <w:jc w:val="center"/>
        <w:rPr>
          <w:b/>
          <w:bCs/>
          <w:color w:val="000000"/>
          <w:sz w:val="36"/>
          <w:szCs w:val="36"/>
        </w:rPr>
        <w:sectPr w:rsidR="00F67CED">
          <w:pgSz w:w="12240" w:h="15840"/>
          <w:pgMar w:top="1411" w:right="1693" w:bottom="1118" w:left="1802" w:header="0" w:footer="720" w:gutter="0"/>
          <w:pgNumType w:start="1"/>
          <w:cols w:space="720"/>
        </w:sectPr>
      </w:pPr>
      <w:r>
        <w:rPr>
          <w:b/>
          <w:bCs/>
          <w:color w:val="000000"/>
          <w:sz w:val="36"/>
          <w:szCs w:val="36"/>
        </w:rPr>
        <w:t xml:space="preserve">The Occupational Health Nurses Role in  Protecting Workers from Heat-related Illness </w:t>
      </w:r>
    </w:p>
    <w:p w14:paraId="0E2EEC86" w14:textId="77777777" w:rsidR="00F67CED" w:rsidRDefault="00DC11CE">
      <w:pPr>
        <w:widowControl w:val="0"/>
        <w:pBdr>
          <w:top w:val="nil"/>
          <w:left w:val="nil"/>
          <w:bottom w:val="nil"/>
          <w:right w:val="nil"/>
          <w:between w:val="nil"/>
        </w:pBdr>
        <w:spacing w:before="2" w:line="240" w:lineRule="auto"/>
        <w:ind w:left="8" w:right="0"/>
        <w:jc w:val="left"/>
        <w:rPr>
          <w:b/>
          <w:bCs/>
          <w:color w:val="000000"/>
        </w:rPr>
      </w:pPr>
      <w:r>
        <w:rPr>
          <w:b/>
          <w:bCs/>
          <w:color w:val="000000"/>
        </w:rPr>
        <w:t xml:space="preserve">INTRODUCTION </w:t>
      </w:r>
    </w:p>
    <w:p w14:paraId="393486DB" w14:textId="77777777" w:rsidR="00F67CED" w:rsidRDefault="00DC11CE">
      <w:pPr>
        <w:widowControl w:val="0"/>
        <w:pBdr>
          <w:top w:val="nil"/>
          <w:left w:val="nil"/>
          <w:bottom w:val="nil"/>
          <w:right w:val="nil"/>
          <w:between w:val="nil"/>
        </w:pBdr>
        <w:spacing w:before="212" w:line="235" w:lineRule="auto"/>
        <w:ind w:left="0" w:right="317"/>
        <w:rPr>
          <w:color w:val="000000"/>
        </w:rPr>
      </w:pPr>
      <w:r>
        <w:rPr>
          <w:color w:val="000000"/>
        </w:rPr>
        <w:t>The American Association of Occupational Health Nurses  (AAOHN) strongly supports practices and policies that  protect workers from heat-related illness. Heat-related  illness may include, among others: heat-related  exposures and exertional heat illness such as heat rash,  sunburn, heat cramps, heat syncope, heat stress, heat  exhaustion, rhabdomyolysis, seizures, heat stroke, and  death (National Institute for Occupational Safety and  Health (NIOSH, 20</w:t>
      </w:r>
      <w:r>
        <w:t>26</w:t>
      </w:r>
      <w:r>
        <w:rPr>
          <w:color w:val="000000"/>
        </w:rPr>
        <w:t>).  AAOHN and OHN</w:t>
      </w:r>
      <w:r>
        <w:t xml:space="preserve">s advocate for a healthier workforce by promoting the health, safety, and wellbeing of employees, their families, and their employers by improving the environments in which they live and work, AAOHN (2026) </w:t>
      </w:r>
      <w:r>
        <w:rPr>
          <w:color w:val="000000"/>
        </w:rPr>
        <w:t>As such, AAOHN endorses policies and  practices that create a culture of health through  professional and leadership</w:t>
      </w:r>
      <w:r>
        <w:t xml:space="preserve"> </w:t>
      </w:r>
      <w:r>
        <w:rPr>
          <w:color w:val="000000"/>
        </w:rPr>
        <w:t>development</w:t>
      </w:r>
      <w:r>
        <w:rPr>
          <w:color w:val="000000"/>
        </w:rPr>
        <w:t xml:space="preserve"> activities,  advocating for legislation and public policy as well as  regulatory and legislative compliance, and recognizing  the value OHNs can provide. These practices include the  use of heat safety guidelines, policies, and practices that  protect workers from heat-related illness, and  collaborative efforts through alliances with other  organizations such as NIOSH, the Occupational Safety  and Health Administration (OSHA), and the American  College of Occupational and Environmental Medicine to  instit</w:t>
      </w:r>
      <w:r>
        <w:rPr>
          <w:color w:val="000000"/>
        </w:rPr>
        <w:t xml:space="preserve">ute heat-related safeguards for all workers. </w:t>
      </w:r>
    </w:p>
    <w:p w14:paraId="2F263F8C" w14:textId="77777777" w:rsidR="00F67CED" w:rsidRDefault="00DC11CE">
      <w:pPr>
        <w:widowControl w:val="0"/>
        <w:pBdr>
          <w:top w:val="nil"/>
          <w:left w:val="nil"/>
          <w:bottom w:val="nil"/>
          <w:right w:val="nil"/>
          <w:between w:val="nil"/>
        </w:pBdr>
        <w:spacing w:before="245" w:line="240" w:lineRule="auto"/>
        <w:ind w:left="9" w:right="0"/>
        <w:jc w:val="left"/>
        <w:rPr>
          <w:b/>
          <w:bCs/>
          <w:color w:val="000000"/>
        </w:rPr>
      </w:pPr>
      <w:r>
        <w:rPr>
          <w:b/>
          <w:bCs/>
          <w:color w:val="000000"/>
        </w:rPr>
        <w:t xml:space="preserve">RATIONALE </w:t>
      </w:r>
    </w:p>
    <w:p w14:paraId="6960BC57" w14:textId="77777777" w:rsidR="00F67CED" w:rsidRDefault="00DC11CE">
      <w:pPr>
        <w:widowControl w:val="0"/>
        <w:pBdr>
          <w:top w:val="nil"/>
          <w:left w:val="nil"/>
          <w:bottom w:val="nil"/>
          <w:right w:val="nil"/>
          <w:between w:val="nil"/>
        </w:pBdr>
        <w:spacing w:before="274" w:line="234" w:lineRule="auto"/>
        <w:ind w:left="3" w:right="318" w:firstLine="8"/>
        <w:rPr>
          <w:color w:val="000000"/>
        </w:rPr>
      </w:pPr>
      <w:r>
        <w:rPr>
          <w:color w:val="000000"/>
        </w:rPr>
        <w:t xml:space="preserve">Exposure to extreme heat or work in hot environments  may increase the workers’ risk of heat stress and </w:t>
      </w:r>
      <w:r>
        <w:t>be at risk for a heat-related illness</w:t>
      </w:r>
      <w:r>
        <w:rPr>
          <w:color w:val="000000"/>
        </w:rPr>
        <w:t xml:space="preserve">(NIOSH, </w:t>
      </w:r>
      <w:r>
        <w:t>2026)</w:t>
      </w:r>
      <w:r>
        <w:rPr>
          <w:color w:val="000000"/>
        </w:rPr>
        <w:t>.  Excessive heat exposure may lead to illness and injuries  resulting from: sweaty palms, fogged-up safety glasses,  dizziness and fatigue, and burns. When combined with exertion, this  may lead to exertional heat illness and exertional heat  stroke, potentially endangering workers. Heat related  illness and exertional heat illness can occur among indoor  and outdoor workers and may be particularly problematic  among workers who exert themselves in the heat and  work in enclosed spaces with minimal air cir</w:t>
      </w:r>
      <w:r>
        <w:rPr>
          <w:color w:val="000000"/>
        </w:rPr>
        <w:t xml:space="preserve">culation (e.g.,  firefighters, the military and police, athletes and coaches,  construction workers, </w:t>
      </w:r>
    </w:p>
    <w:p w14:paraId="3F2657AE" w14:textId="77777777" w:rsidR="00F67CED" w:rsidRDefault="00DC11CE">
      <w:pPr>
        <w:widowControl w:val="0"/>
        <w:pBdr>
          <w:top w:val="nil"/>
          <w:left w:val="nil"/>
          <w:bottom w:val="nil"/>
          <w:right w:val="nil"/>
          <w:between w:val="nil"/>
        </w:pBdr>
        <w:spacing w:before="274" w:line="234" w:lineRule="auto"/>
        <w:ind w:left="3" w:right="318" w:firstLine="8"/>
        <w:rPr>
          <w:color w:val="000000"/>
        </w:rPr>
      </w:pPr>
      <w:r>
        <w:rPr>
          <w:color w:val="000000"/>
        </w:rPr>
        <w:t>farmers, agricultural laborers,  bakers, miners, healthcare workers, and boiler room  workers). OHNs must consider th</w:t>
      </w:r>
      <w:r>
        <w:t>e evolving worker profile and account for v</w:t>
      </w:r>
      <w:r>
        <w:rPr>
          <w:color w:val="000000"/>
        </w:rPr>
        <w:t xml:space="preserve">ulnerable populations, such as individuals  who are unacclimated workers, </w:t>
      </w:r>
      <w:r>
        <w:rPr>
          <w:color w:val="000000"/>
        </w:rPr>
        <w:t xml:space="preserve">overweight, pregnant,  have comorbidities, </w:t>
      </w:r>
      <w:r>
        <w:t>aging workers,</w:t>
      </w:r>
      <w:r>
        <w:rPr>
          <w:color w:val="000000"/>
        </w:rPr>
        <w:t xml:space="preserve"> take medications that may be affected by  extreme heat, and </w:t>
      </w:r>
      <w:r>
        <w:t>have a history of previous heat-related illness</w:t>
      </w:r>
      <w:r>
        <w:rPr>
          <w:color w:val="000000"/>
        </w:rPr>
        <w:t xml:space="preserve"> are particularly susceptibl</w:t>
      </w:r>
      <w:r>
        <w:rPr>
          <w:color w:val="000000"/>
        </w:rPr>
        <w:t xml:space="preserve">e to illness  (NIOSH, </w:t>
      </w:r>
      <w:r>
        <w:t xml:space="preserve">2026 Tustin </w:t>
      </w:r>
      <w:hyperlink r:id="rId5">
        <w:r>
          <w:rPr>
            <w:color w:val="1155CC"/>
            <w:u w:val="single"/>
          </w:rPr>
          <w:t>et.al</w:t>
        </w:r>
      </w:hyperlink>
      <w:r>
        <w:t>., 2021)</w:t>
      </w:r>
      <w:r>
        <w:rPr>
          <w:color w:val="000000"/>
        </w:rPr>
        <w:t>.  Additional</w:t>
      </w:r>
      <w:r>
        <w:t xml:space="preserve"> considerations include increased worker hours, caffeine intake, and cultural beliefs and/or practices. </w:t>
      </w:r>
      <w:r>
        <w:rPr>
          <w:color w:val="000000"/>
        </w:rPr>
        <w:t xml:space="preserve">The frequency and </w:t>
      </w:r>
      <w:r>
        <w:rPr>
          <w:color w:val="000000"/>
        </w:rPr>
        <w:t xml:space="preserve">severity of extreme heat events and  the subsequent risk of increased morbidity and mortality  from heat related illness resulting from global climate  change are only expected to increase in the coming  decades (Riley et al., 2018). As such, OHNs must be prepared to  proactively address climate change-related health effects  in workers and mitigate their risks to support a safe and  healthy environment for all workers. </w:t>
      </w:r>
    </w:p>
    <w:p w14:paraId="3CFE94A3" w14:textId="77777777" w:rsidR="00F67CED" w:rsidRDefault="00DC11CE">
      <w:pPr>
        <w:widowControl w:val="0"/>
        <w:ind w:left="2" w:right="330"/>
        <w:rPr>
          <w:color w:val="000000"/>
        </w:rPr>
        <w:sectPr w:rsidR="00F67CED">
          <w:type w:val="continuous"/>
          <w:pgSz w:w="12240" w:h="15840"/>
          <w:pgMar w:top="1411" w:right="1694" w:bottom="1118" w:left="1802" w:header="0" w:footer="720" w:gutter="0"/>
          <w:cols w:num="2" w:space="720" w:equalWidth="0">
            <w:col w:w="4380" w:space="0"/>
            <w:col w:w="4380" w:space="0"/>
          </w:cols>
        </w:sectPr>
      </w:pPr>
      <w:r>
        <w:rPr>
          <w:color w:val="000000"/>
        </w:rPr>
        <w:t>The General Duty Clause of the Occupational Safety and  Health Act (OSHA, 1970) requires employers to provide  a place of employment that is free from recognized  hazards that are causing or are likely to cause death or  serious physical harm to employees. While there is no  specific standard addressing hot environments, this  General Duty Clause is referred to when considering  heat-related hazards.</w:t>
      </w:r>
      <w:r>
        <w:t xml:space="preserve"> </w:t>
      </w:r>
      <w:r>
        <w:rPr>
          <w:sz w:val="21"/>
          <w:szCs w:val="21"/>
        </w:rPr>
        <w:t>I</w:t>
      </w:r>
      <w:r>
        <w:t>n 2016, NIOSH published NIOSH criteria for a recommended standard: occupational exposure to heat and hot environments, this brought forward the importance of acclimatation for workers</w:t>
      </w:r>
      <w:r>
        <w:rPr>
          <w:color w:val="444746"/>
          <w:sz w:val="21"/>
          <w:szCs w:val="21"/>
        </w:rPr>
        <w:t>.</w:t>
      </w:r>
      <w:r>
        <w:rPr>
          <w:color w:val="000000"/>
        </w:rPr>
        <w:t xml:space="preserve">In 2022, OSHA provided guidance  on a National Emphasis Program focusing on Outdoor  and Indoor Heat-related Hazards. The goal of this  program is that employers will intervene early to prevent  heat-related illness and death. OSHA has taken  measures to address the risk of heat stress hazards in  workplaces and has endorsed the development of an  overall heat stress program which includes measures to  abate heat stress hazards in workplaces. OSHA and  NIOSH jointly developed a Heat Safety Tool App (NIOSH, </w:t>
      </w:r>
      <w:r>
        <w:rPr>
          <w:color w:val="000000"/>
        </w:rPr>
        <w:t xml:space="preserve"> </w:t>
      </w:r>
      <w:r>
        <w:t>2026</w:t>
      </w:r>
      <w:r>
        <w:rPr>
          <w:color w:val="000000"/>
        </w:rPr>
        <w:t xml:space="preserve">) which is a resource to help plan outdoor activities  and provides real time heat index based on location, </w:t>
      </w:r>
    </w:p>
    <w:p w14:paraId="0D9916AC" w14:textId="77777777" w:rsidR="00F67CED" w:rsidRDefault="00DC11CE">
      <w:pPr>
        <w:widowControl w:val="0"/>
        <w:pBdr>
          <w:top w:val="nil"/>
          <w:left w:val="nil"/>
          <w:bottom w:val="nil"/>
          <w:right w:val="nil"/>
          <w:between w:val="nil"/>
        </w:pBdr>
        <w:spacing w:before="315" w:line="240" w:lineRule="auto"/>
        <w:ind w:left="0" w:right="218"/>
        <w:jc w:val="right"/>
        <w:rPr>
          <w:color w:val="000000"/>
        </w:rPr>
        <w:sectPr w:rsidR="00F67CED">
          <w:type w:val="continuous"/>
          <w:pgSz w:w="12240" w:h="15840"/>
          <w:pgMar w:top="1411" w:right="1693" w:bottom="1118" w:left="1802" w:header="0" w:footer="720" w:gutter="0"/>
          <w:cols w:space="720" w:equalWidth="0">
            <w:col w:w="8743" w:space="0"/>
          </w:cols>
        </w:sectPr>
      </w:pPr>
      <w:r>
        <w:rPr>
          <w:color w:val="000000"/>
        </w:rPr>
        <w:t xml:space="preserve">1 </w:t>
      </w:r>
    </w:p>
    <w:p w14:paraId="450775B6" w14:textId="77777777" w:rsidR="00F67CED" w:rsidRDefault="00DC11CE">
      <w:pPr>
        <w:widowControl w:val="0"/>
        <w:pBdr>
          <w:top w:val="nil"/>
          <w:left w:val="nil"/>
          <w:bottom w:val="nil"/>
          <w:right w:val="nil"/>
          <w:between w:val="nil"/>
        </w:pBdr>
        <w:spacing w:before="0" w:line="234" w:lineRule="auto"/>
        <w:ind w:left="0" w:right="317" w:firstLine="3"/>
        <w:rPr>
          <w:color w:val="000000"/>
        </w:rPr>
      </w:pPr>
      <w:r>
        <w:rPr>
          <w:color w:val="000000"/>
        </w:rPr>
        <w:t xml:space="preserve">allowing for early identification and intervention of  problematic conditions. OSHA has also recognized the  risk to outdoor workers by sponsoring campaigns to  prevent heat illness (Phillips, 2019; OSHA 2010, 2014).  </w:t>
      </w:r>
      <w:r>
        <w:rPr>
          <w:color w:val="000000"/>
        </w:rPr>
        <w:t xml:space="preserve">Several state OSHA plans, including those in California,  Colorado, Oregon, Minnesota, and Washington,  have gone further to enact  protective heat standards (California Division of  Occupational Health and Safety (2019); </w:t>
      </w:r>
      <w:r>
        <w:rPr>
          <w:color w:val="231F20"/>
        </w:rPr>
        <w:lastRenderedPageBreak/>
        <w:t xml:space="preserve">Minnesota Office  of the Revisor of Statutes (2014); Phillips; </w:t>
      </w:r>
      <w:r>
        <w:rPr>
          <w:color w:val="000000"/>
        </w:rPr>
        <w:t xml:space="preserve">Washington  State Department of Labor &amp; Industries (n.d.)Colorado General Assembly, 2025, Oregon Occupational Safety and Health Administration, n.d.).  </w:t>
      </w:r>
    </w:p>
    <w:p w14:paraId="4A3BADEB" w14:textId="77777777" w:rsidR="00F67CED" w:rsidRDefault="00DC11CE">
      <w:pPr>
        <w:widowControl w:val="0"/>
        <w:pBdr>
          <w:top w:val="nil"/>
          <w:left w:val="nil"/>
          <w:bottom w:val="nil"/>
          <w:right w:val="nil"/>
          <w:between w:val="nil"/>
        </w:pBdr>
        <w:spacing w:before="218" w:line="238" w:lineRule="auto"/>
        <w:ind w:left="0" w:right="317" w:firstLine="11"/>
        <w:rPr>
          <w:color w:val="000000"/>
        </w:rPr>
      </w:pPr>
      <w:r>
        <w:rPr>
          <w:color w:val="000000"/>
        </w:rPr>
        <w:t xml:space="preserve">Protective heat programs in workplaces safeguard  workers and save money by reducing the rates of work related illnesses and injuries, the risk of </w:t>
      </w:r>
      <w:r>
        <w:t>accidents</w:t>
      </w:r>
      <w:r>
        <w:rPr>
          <w:color w:val="000000"/>
        </w:rPr>
        <w:t>,  exacerbation of underlying health problems, heat related  hospitalizations, and by improving productivity. OHNs  possess the skills and training to evaluate and treat heat related injury and illness and mitigate the health effects of  heat on workers through education and implementation of  heat protection programs.</w:t>
      </w:r>
    </w:p>
    <w:p w14:paraId="6E8BF24D" w14:textId="77777777" w:rsidR="00F67CED" w:rsidRDefault="00DC11CE">
      <w:pPr>
        <w:widowControl w:val="0"/>
        <w:spacing w:before="244" w:line="240" w:lineRule="auto"/>
        <w:ind w:left="0" w:right="0"/>
        <w:jc w:val="left"/>
      </w:pPr>
      <w:r>
        <w:rPr>
          <w:b/>
          <w:bCs/>
        </w:rPr>
        <w:t xml:space="preserve">RECOMMENDATIONS </w:t>
      </w:r>
    </w:p>
    <w:p w14:paraId="09DB5D53" w14:textId="77777777" w:rsidR="00F67CED" w:rsidRDefault="00DC11CE">
      <w:pPr>
        <w:widowControl w:val="0"/>
        <w:pBdr>
          <w:top w:val="nil"/>
          <w:left w:val="nil"/>
          <w:bottom w:val="nil"/>
          <w:right w:val="nil"/>
          <w:between w:val="nil"/>
        </w:pBdr>
        <w:spacing w:before="218" w:line="238" w:lineRule="auto"/>
        <w:ind w:left="0" w:right="317" w:firstLine="11"/>
        <w:rPr>
          <w:color w:val="000000"/>
        </w:rPr>
      </w:pPr>
      <w:r>
        <w:rPr>
          <w:color w:val="000000"/>
        </w:rPr>
        <w:t xml:space="preserve">There are various measures to  combat heat-related illness that can be included in a  health protection program. These measures may vary  based on the nature of the business and the type of work  performed and may include a multi-disciplinary team. The  measures may include CDC, 2024):  </w:t>
      </w:r>
    </w:p>
    <w:p w14:paraId="3F97FB9D" w14:textId="77777777" w:rsidR="00F67CED" w:rsidRDefault="00DC11CE">
      <w:pPr>
        <w:widowControl w:val="0"/>
        <w:spacing w:before="2" w:line="240" w:lineRule="auto"/>
        <w:ind w:left="360" w:right="330"/>
        <w:rPr>
          <w:highlight w:val="yellow"/>
        </w:rPr>
      </w:pPr>
      <w:r>
        <w:rPr>
          <w:color w:val="444746"/>
        </w:rPr>
        <w:t xml:space="preserve">• </w:t>
      </w:r>
      <w:r>
        <w:t>education, health and safety training on prevention of heat-related injuries and illness</w:t>
      </w:r>
    </w:p>
    <w:p w14:paraId="449C944C" w14:textId="77777777" w:rsidR="00F67CED" w:rsidRDefault="00DC11CE">
      <w:pPr>
        <w:widowControl w:val="0"/>
        <w:spacing w:before="2" w:line="240" w:lineRule="auto"/>
        <w:ind w:left="360" w:right="330"/>
      </w:pPr>
      <w:r>
        <w:t>• education of both workers and leaders on the early signs of heat-related illness</w:t>
      </w:r>
    </w:p>
    <w:p w14:paraId="45F1EE6B" w14:textId="77777777" w:rsidR="00F67CED" w:rsidRDefault="00DC11CE">
      <w:pPr>
        <w:widowControl w:val="0"/>
        <w:spacing w:before="2" w:line="240" w:lineRule="auto"/>
        <w:ind w:left="360" w:right="330"/>
      </w:pPr>
      <w:r>
        <w:t>• educating employers, supervisors, and workers about heat related illness including protective measures, risk factors, acclimatization, first aid and when to seek emergency care(CDC, 2026)</w:t>
      </w:r>
    </w:p>
    <w:p w14:paraId="6D544B4C" w14:textId="77777777" w:rsidR="00F67CED" w:rsidRDefault="00DC11CE">
      <w:pPr>
        <w:widowControl w:val="0"/>
        <w:spacing w:before="2" w:line="240" w:lineRule="auto"/>
        <w:ind w:left="360" w:right="330"/>
      </w:pPr>
      <w:r>
        <w:t>• ensuring safety plans follow the hierarchy of controls and that emergency response plans include first aid and medical response for heat related illnesses.</w:t>
      </w:r>
    </w:p>
    <w:p w14:paraId="55D986F0" w14:textId="77777777" w:rsidR="00F67CED" w:rsidRDefault="00DC11CE">
      <w:pPr>
        <w:widowControl w:val="0"/>
        <w:spacing w:before="2" w:line="240" w:lineRule="auto"/>
        <w:ind w:left="360" w:right="330"/>
      </w:pPr>
      <w:r>
        <w:t>• implementing mandatory work breaks, limiting time in the heat and/or increasing recovery time spent in a cool environment,</w:t>
      </w:r>
    </w:p>
    <w:p w14:paraId="151A876C" w14:textId="77777777" w:rsidR="00F67CED" w:rsidRDefault="00DC11CE">
      <w:pPr>
        <w:widowControl w:val="0"/>
        <w:spacing w:before="2" w:line="240" w:lineRule="auto"/>
        <w:ind w:left="360" w:right="330"/>
      </w:pPr>
      <w:r>
        <w:t>• having places to rest in the shade/cool environment,</w:t>
      </w:r>
    </w:p>
    <w:p w14:paraId="35C9F2BB" w14:textId="77777777" w:rsidR="00F67CED" w:rsidRDefault="00DC11CE">
      <w:pPr>
        <w:widowControl w:val="0"/>
        <w:spacing w:before="2" w:line="240" w:lineRule="auto"/>
        <w:ind w:left="360" w:right="330"/>
      </w:pPr>
      <w:r>
        <w:t>• ensuring hydration with access to sufficient quantities of drinking water and electrolytes (if workers are sweating for more than two hours),</w:t>
      </w:r>
    </w:p>
    <w:p w14:paraId="1F71C820" w14:textId="77777777" w:rsidR="00F67CED" w:rsidRDefault="00DC11CE">
      <w:pPr>
        <w:widowControl w:val="0"/>
        <w:spacing w:before="2" w:line="240" w:lineRule="auto"/>
        <w:ind w:left="360" w:right="330"/>
      </w:pPr>
      <w:r>
        <w:t>• ensuring use of personal protective equipment such as garments that are light-colored and breathable, using reflective or heat-absorbing shields or barriers, or cooling vests,</w:t>
      </w:r>
    </w:p>
    <w:p w14:paraId="6B174572" w14:textId="77777777" w:rsidR="00F67CED" w:rsidRDefault="00DC11CE">
      <w:pPr>
        <w:widowControl w:val="0"/>
        <w:spacing w:before="2" w:line="240" w:lineRule="auto"/>
        <w:ind w:left="360" w:right="330"/>
      </w:pPr>
      <w:r>
        <w:t>• exposure scrutiny and medical monitoring to recognize heat capture,</w:t>
      </w:r>
    </w:p>
    <w:p w14:paraId="76D00DBD" w14:textId="77777777" w:rsidR="00F67CED" w:rsidRDefault="00DC11CE">
      <w:pPr>
        <w:widowControl w:val="0"/>
        <w:spacing w:before="2" w:line="240" w:lineRule="auto"/>
        <w:ind w:left="360" w:right="330"/>
      </w:pPr>
      <w:r>
        <w:t>• implementing a heat alert program whenever the weather service forecasts that a heat wave is likely to occur,</w:t>
      </w:r>
    </w:p>
    <w:p w14:paraId="26ABF815" w14:textId="77777777" w:rsidR="00F67CED" w:rsidRDefault="00DC11CE">
      <w:pPr>
        <w:widowControl w:val="0"/>
        <w:spacing w:before="2" w:line="240" w:lineRule="auto"/>
        <w:ind w:left="360" w:right="330"/>
      </w:pPr>
      <w:r>
        <w:t>• implementing a buddy system where workers</w:t>
      </w:r>
      <w:r>
        <w:rPr>
          <w:rFonts w:ascii="Roboto" w:eastAsia="Roboto" w:hAnsi="Roboto" w:cs="Roboto"/>
          <w:sz w:val="21"/>
          <w:szCs w:val="21"/>
        </w:rPr>
        <w:t xml:space="preserve"> </w:t>
      </w:r>
      <w:r>
        <w:t>observe each other for signs of heat intolerance,</w:t>
      </w:r>
    </w:p>
    <w:p w14:paraId="2E59112D" w14:textId="77777777" w:rsidR="00F67CED" w:rsidRDefault="00DC11CE">
      <w:pPr>
        <w:widowControl w:val="0"/>
        <w:spacing w:before="2" w:line="240" w:lineRule="auto"/>
        <w:ind w:left="360" w:right="330"/>
      </w:pPr>
      <w:r>
        <w:t>• requiring workers to conduct self-monitoring and create work groups (i.e., workers, a qualified healthcare provider, and a safety manager) to make decisions on self-monitoring options and standard operating procedures,</w:t>
      </w:r>
    </w:p>
    <w:p w14:paraId="29F4B321" w14:textId="77777777" w:rsidR="00F67CED" w:rsidRDefault="00DC11CE">
      <w:pPr>
        <w:widowControl w:val="0"/>
        <w:spacing w:before="2" w:line="240" w:lineRule="auto"/>
        <w:ind w:left="360" w:right="330"/>
      </w:pPr>
      <w:r>
        <w:t>• increasing the number of workers per task or rotating personnel</w:t>
      </w:r>
    </w:p>
    <w:p w14:paraId="2B88D347" w14:textId="77777777" w:rsidR="00F67CED" w:rsidRDefault="00DC11CE">
      <w:pPr>
        <w:widowControl w:val="0"/>
        <w:spacing w:before="2" w:line="240" w:lineRule="auto"/>
      </w:pPr>
      <w:r>
        <w:t>• reducing the metabolic demands of the job, heat</w:t>
      </w:r>
      <w:r>
        <w:rPr>
          <w:color w:val="444746"/>
        </w:rPr>
        <w:t xml:space="preserve"> </w:t>
      </w:r>
      <w:r>
        <w:t>acclimatization plans ensuring gradual acclimatization to work</w:t>
      </w:r>
      <w:r>
        <w:rPr>
          <w:color w:val="444746"/>
        </w:rPr>
        <w:t xml:space="preserve"> </w:t>
      </w:r>
      <w:r>
        <w:t>over a period of at least 7-14 days, and</w:t>
      </w:r>
    </w:p>
    <w:p w14:paraId="3B1E1FEA" w14:textId="77777777" w:rsidR="00F67CED" w:rsidRDefault="00DC11CE">
      <w:pPr>
        <w:widowControl w:val="0"/>
        <w:spacing w:before="2" w:line="240" w:lineRule="auto"/>
        <w:ind w:left="630"/>
      </w:pPr>
      <w:r>
        <w:t>•  ambient temperature measurement,</w:t>
      </w:r>
    </w:p>
    <w:p w14:paraId="0DBB14AD" w14:textId="77777777" w:rsidR="00F67CED" w:rsidRDefault="00DC11CE">
      <w:pPr>
        <w:widowControl w:val="0"/>
        <w:spacing w:before="2" w:line="240" w:lineRule="auto"/>
        <w:ind w:left="630"/>
      </w:pPr>
      <w:r>
        <w:t>•  calculation of heat index</w:t>
      </w:r>
    </w:p>
    <w:p w14:paraId="5D14DAF5" w14:textId="77777777" w:rsidR="00F67CED" w:rsidRDefault="00DC11CE">
      <w:pPr>
        <w:widowControl w:val="0"/>
        <w:spacing w:before="2" w:line="240" w:lineRule="auto"/>
        <w:ind w:left="630"/>
      </w:pPr>
      <w:r>
        <w:t>•  reducing steam leaks, wet floors, or humidity,</w:t>
      </w:r>
    </w:p>
    <w:p w14:paraId="0420C5FE" w14:textId="77777777" w:rsidR="00F67CED" w:rsidRDefault="00DC11CE">
      <w:pPr>
        <w:widowControl w:val="0"/>
        <w:spacing w:before="2" w:line="240" w:lineRule="auto"/>
        <w:ind w:left="630"/>
      </w:pPr>
      <w:r>
        <w:t>•</w:t>
      </w:r>
      <w:r>
        <w:t xml:space="preserve"> </w:t>
      </w:r>
      <w:r>
        <w:t>avoiding pay practices that discourage workers from taking rest breaks or stopping to hydrate</w:t>
      </w:r>
    </w:p>
    <w:p w14:paraId="785864B5" w14:textId="77777777" w:rsidR="00F67CED" w:rsidRDefault="00DC11CE">
      <w:pPr>
        <w:widowControl w:val="0"/>
        <w:pBdr>
          <w:top w:val="nil"/>
          <w:left w:val="nil"/>
          <w:bottom w:val="nil"/>
          <w:right w:val="nil"/>
          <w:between w:val="nil"/>
        </w:pBdr>
        <w:spacing w:before="2" w:line="240" w:lineRule="auto"/>
        <w:ind w:left="630" w:right="0"/>
        <w:jc w:val="left"/>
        <w:rPr>
          <w:color w:val="000000"/>
        </w:rPr>
      </w:pPr>
      <w:r>
        <w:rPr>
          <w:rFonts w:ascii="Roboto" w:eastAsia="Roboto" w:hAnsi="Roboto" w:cs="Roboto"/>
          <w:sz w:val="21"/>
          <w:szCs w:val="21"/>
        </w:rPr>
        <w:t xml:space="preserve">•  </w:t>
      </w:r>
      <w:r>
        <w:t>increasing physical fitness</w:t>
      </w:r>
    </w:p>
    <w:p w14:paraId="721C5FDF" w14:textId="77777777" w:rsidR="00F67CED" w:rsidRDefault="00DC11CE">
      <w:pPr>
        <w:widowControl w:val="0"/>
        <w:pBdr>
          <w:top w:val="nil"/>
          <w:left w:val="nil"/>
          <w:bottom w:val="nil"/>
          <w:right w:val="nil"/>
          <w:between w:val="nil"/>
        </w:pBdr>
        <w:spacing w:before="210" w:line="235" w:lineRule="auto"/>
        <w:ind w:left="305" w:right="18" w:hanging="4"/>
        <w:rPr>
          <w:b/>
          <w:bCs/>
          <w:color w:val="000000"/>
        </w:rPr>
      </w:pPr>
      <w:r>
        <w:rPr>
          <w:color w:val="000000"/>
        </w:rPr>
        <w:t xml:space="preserve">Additional information is provided by NIOSH (2016) in the  </w:t>
      </w:r>
      <w:r>
        <w:rPr>
          <w:color w:val="0000FF"/>
          <w:u w:val="single"/>
        </w:rPr>
        <w:t xml:space="preserve">Criteria for a Recommended Standard: Occupational </w:t>
      </w:r>
      <w:r>
        <w:rPr>
          <w:color w:val="0000FF"/>
        </w:rPr>
        <w:t xml:space="preserve"> </w:t>
      </w:r>
      <w:r>
        <w:rPr>
          <w:color w:val="0000FF"/>
          <w:u w:val="single"/>
        </w:rPr>
        <w:t xml:space="preserve">Exposure to Heat and Hot Environments. </w:t>
      </w:r>
    </w:p>
    <w:p w14:paraId="4596F269" w14:textId="77777777" w:rsidR="00F67CED" w:rsidRDefault="00DC11CE">
      <w:pPr>
        <w:widowControl w:val="0"/>
        <w:pBdr>
          <w:top w:val="nil"/>
          <w:left w:val="nil"/>
          <w:bottom w:val="nil"/>
          <w:right w:val="nil"/>
          <w:between w:val="nil"/>
        </w:pBdr>
        <w:spacing w:before="243" w:line="235" w:lineRule="auto"/>
        <w:ind w:firstLine="4"/>
        <w:rPr>
          <w:color w:val="000000"/>
        </w:rPr>
      </w:pPr>
      <w:r>
        <w:rPr>
          <w:color w:val="231F20"/>
        </w:rPr>
        <w:t>OHNs play an important role</w:t>
      </w:r>
      <w:r>
        <w:rPr>
          <w:color w:val="231F20"/>
        </w:rPr>
        <w:t xml:space="preserve"> as promoters for </w:t>
      </w:r>
      <w:r>
        <w:rPr>
          <w:color w:val="231F20"/>
        </w:rPr>
        <w:t xml:space="preserve"> keeping </w:t>
      </w:r>
      <w:r>
        <w:rPr>
          <w:color w:val="000000"/>
        </w:rPr>
        <w:t>workers and  workplace community environments healthy and safe.  They are important advocates in creating a culture of  health and safety, as well as forming strategic alliances  with other organizations to impact education, legislation,  regulatory compliance, and public policy. AAOHN  recognizes the value OHNs can provide as clinicians,  leaders, advocates, and collaborators to protect workers  and the environment. As the professional association of  licensed nurses engaged in the practice of occupational</w:t>
      </w:r>
      <w:r>
        <w:rPr>
          <w:color w:val="000000"/>
        </w:rPr>
        <w:t xml:space="preserve">  and environmental health nursing, AAOHN supports the  incorporation of heat safety guidelines, policies, and  practices that protect workers from heat-related illness.  AAOHN also endorses the use of existing heat safety  guidelines, regulatory compliance, education, advocacy,  and public policy pertaining to heat safety measures to  protect all workers and the environments in which they  live and practice . </w:t>
      </w:r>
    </w:p>
    <w:p w14:paraId="4ADE7E7C" w14:textId="77777777" w:rsidR="00F67CED" w:rsidRDefault="00DC11CE">
      <w:pPr>
        <w:widowControl w:val="0"/>
        <w:pBdr>
          <w:top w:val="nil"/>
          <w:left w:val="nil"/>
          <w:bottom w:val="nil"/>
          <w:right w:val="nil"/>
          <w:between w:val="nil"/>
        </w:pBdr>
        <w:spacing w:before="244" w:line="240" w:lineRule="auto"/>
        <w:ind w:left="310" w:right="0"/>
        <w:jc w:val="left"/>
        <w:rPr>
          <w:b/>
          <w:bCs/>
          <w:color w:val="000000"/>
        </w:rPr>
      </w:pPr>
      <w:r>
        <w:rPr>
          <w:b/>
          <w:bCs/>
          <w:color w:val="000000"/>
        </w:rPr>
        <w:t xml:space="preserve">REFERENCES  </w:t>
      </w:r>
    </w:p>
    <w:p w14:paraId="54A73ACE" w14:textId="77777777" w:rsidR="00F67CED" w:rsidRDefault="00DC11CE">
      <w:pPr>
        <w:widowControl w:val="0"/>
        <w:spacing w:before="0" w:line="234" w:lineRule="auto"/>
        <w:ind w:left="720" w:right="0" w:hanging="720"/>
        <w:jc w:val="left"/>
        <w:rPr>
          <w:color w:val="231F20"/>
        </w:rPr>
      </w:pPr>
      <w:r>
        <w:rPr>
          <w:color w:val="231F20"/>
        </w:rPr>
        <w:t xml:space="preserve">American Association of Occupational Health  Nurses (AAOHN) (2019). Vision and  </w:t>
      </w:r>
    </w:p>
    <w:p w14:paraId="2E87CFEC" w14:textId="77777777" w:rsidR="00F67CED" w:rsidRDefault="00DC11CE">
      <w:pPr>
        <w:widowControl w:val="0"/>
        <w:spacing w:before="0" w:line="234" w:lineRule="auto"/>
        <w:ind w:left="720" w:right="0" w:hanging="720"/>
        <w:jc w:val="left"/>
        <w:rPr>
          <w:color w:val="231F20"/>
          <w:u w:val="single"/>
        </w:rPr>
      </w:pPr>
      <w:r>
        <w:rPr>
          <w:color w:val="231F20"/>
        </w:rPr>
        <w:t xml:space="preserve">mission. Retrieved from  </w:t>
      </w:r>
      <w:hyperlink r:id="rId6">
        <w:r>
          <w:rPr>
            <w:color w:val="1155CC"/>
            <w:u w:val="single"/>
          </w:rPr>
          <w:t>http://aaohn.org/page/vision-mission</w:t>
        </w:r>
      </w:hyperlink>
    </w:p>
    <w:p w14:paraId="2B405778" w14:textId="77777777" w:rsidR="00F67CED" w:rsidRDefault="00DC11CE">
      <w:pPr>
        <w:widowControl w:val="0"/>
        <w:spacing w:before="0" w:line="234" w:lineRule="auto"/>
        <w:ind w:left="720" w:right="0" w:hanging="720"/>
        <w:jc w:val="left"/>
        <w:rPr>
          <w:color w:val="231F20"/>
        </w:rPr>
      </w:pPr>
      <w:r>
        <w:rPr>
          <w:color w:val="231F20"/>
        </w:rPr>
        <w:t xml:space="preserve">  </w:t>
      </w:r>
    </w:p>
    <w:p w14:paraId="5E685C0D" w14:textId="77777777" w:rsidR="00F67CED" w:rsidRDefault="00DC11CE">
      <w:pPr>
        <w:widowControl w:val="0"/>
        <w:spacing w:before="0" w:line="234" w:lineRule="auto"/>
        <w:ind w:left="720" w:right="0" w:hanging="720"/>
        <w:jc w:val="left"/>
        <w:rPr>
          <w:color w:val="1155CC"/>
          <w:u w:val="single"/>
        </w:rPr>
      </w:pPr>
      <w:r>
        <w:rPr>
          <w:color w:val="231F20"/>
        </w:rPr>
        <w:t xml:space="preserve">California Division of Occupational Safety and Health(2019). Heat Illness Prevention Prevention (Standard 3395). Retrieved from  </w:t>
      </w:r>
      <w:hyperlink r:id="rId7">
        <w:r>
          <w:rPr>
            <w:color w:val="1155CC"/>
            <w:u w:val="single"/>
          </w:rPr>
          <w:t>https://www.dir.ca.gov/title8/3395.html</w:t>
        </w:r>
      </w:hyperlink>
    </w:p>
    <w:p w14:paraId="64A0472C" w14:textId="77777777" w:rsidR="00F67CED" w:rsidRDefault="00DC11CE">
      <w:pPr>
        <w:widowControl w:val="0"/>
        <w:spacing w:before="0" w:line="234" w:lineRule="auto"/>
        <w:ind w:left="720" w:right="0" w:hanging="720"/>
        <w:jc w:val="left"/>
        <w:rPr>
          <w:color w:val="231F20"/>
        </w:rPr>
      </w:pPr>
      <w:r>
        <w:rPr>
          <w:color w:val="231F20"/>
        </w:rPr>
        <w:t xml:space="preserve"> </w:t>
      </w:r>
    </w:p>
    <w:p w14:paraId="73D744C3" w14:textId="77777777" w:rsidR="00F67CED" w:rsidRDefault="00DC11CE">
      <w:pPr>
        <w:widowControl w:val="0"/>
        <w:spacing w:before="0" w:line="234" w:lineRule="auto"/>
        <w:ind w:left="720" w:right="0" w:hanging="720"/>
        <w:jc w:val="left"/>
        <w:rPr>
          <w:color w:val="1155CC"/>
          <w:u w:val="single"/>
        </w:rPr>
      </w:pPr>
      <w:r>
        <w:rPr>
          <w:color w:val="231F20"/>
        </w:rPr>
        <w:t xml:space="preserve">Centers for Disease Control and Prevention. (n.d.). </w:t>
      </w:r>
      <w:r>
        <w:rPr>
          <w:i/>
          <w:iCs/>
          <w:color w:val="231F20"/>
        </w:rPr>
        <w:t>Heat stress</w:t>
      </w:r>
      <w:r>
        <w:rPr>
          <w:color w:val="231F20"/>
        </w:rPr>
        <w:t>. National Institute for Occupational Safety and Health.</w:t>
      </w:r>
      <w:hyperlink r:id="rId8">
        <w:r>
          <w:rPr>
            <w:color w:val="1155CC"/>
            <w:u w:val="single"/>
          </w:rPr>
          <w:t xml:space="preserve"> https://www.cdc.gov/niosh/heat-stress/about/index.html</w:t>
        </w:r>
      </w:hyperlink>
    </w:p>
    <w:p w14:paraId="2475EE9E" w14:textId="77777777" w:rsidR="00F67CED" w:rsidRDefault="00DC11CE">
      <w:pPr>
        <w:widowControl w:val="0"/>
        <w:spacing w:before="0" w:line="234" w:lineRule="auto"/>
        <w:ind w:left="720" w:right="0" w:hanging="720"/>
        <w:jc w:val="left"/>
        <w:rPr>
          <w:color w:val="231F20"/>
        </w:rPr>
      </w:pPr>
      <w:r>
        <w:rPr>
          <w:color w:val="231F20"/>
        </w:rPr>
        <w:t xml:space="preserve"> </w:t>
      </w:r>
    </w:p>
    <w:p w14:paraId="5B4FEDF3" w14:textId="77777777" w:rsidR="00F67CED" w:rsidRDefault="00DC11CE">
      <w:pPr>
        <w:widowControl w:val="0"/>
        <w:spacing w:before="0" w:line="234" w:lineRule="auto"/>
        <w:ind w:left="720" w:right="0" w:hanging="720"/>
        <w:jc w:val="left"/>
        <w:rPr>
          <w:color w:val="1155CC"/>
          <w:u w:val="single"/>
        </w:rPr>
      </w:pPr>
      <w:r>
        <w:rPr>
          <w:color w:val="231F20"/>
        </w:rPr>
        <w:t xml:space="preserve">Centers for Disease Control and Prevention, National Institute for Occupational Safety and Health. (2024, August 12). </w:t>
      </w:r>
      <w:r>
        <w:rPr>
          <w:i/>
          <w:iCs/>
          <w:color w:val="231F20"/>
        </w:rPr>
        <w:t>Workplace recommendations</w:t>
      </w:r>
      <w:r>
        <w:rPr>
          <w:color w:val="231F20"/>
        </w:rPr>
        <w:t>.</w:t>
      </w:r>
      <w:hyperlink r:id="rId9">
        <w:r>
          <w:rPr>
            <w:color w:val="1155CC"/>
            <w:u w:val="single"/>
          </w:rPr>
          <w:t xml:space="preserve"> https://www.cdc.gov/niosh/heat-stress/recommendations/index.html</w:t>
        </w:r>
        <w:r>
          <w:rPr>
            <w:color w:val="1155CC"/>
            <w:u w:val="single"/>
          </w:rPr>
          <w:br/>
        </w:r>
      </w:hyperlink>
    </w:p>
    <w:p w14:paraId="24687937" w14:textId="77777777" w:rsidR="00F67CED" w:rsidRDefault="00DC11CE">
      <w:pPr>
        <w:widowControl w:val="0"/>
        <w:spacing w:before="0" w:line="234" w:lineRule="auto"/>
        <w:ind w:left="720" w:right="0" w:hanging="720"/>
        <w:jc w:val="left"/>
        <w:rPr>
          <w:color w:val="231F20"/>
          <w:u w:val="single"/>
        </w:rPr>
      </w:pPr>
      <w:r>
        <w:rPr>
          <w:color w:val="231F20"/>
        </w:rPr>
        <w:t xml:space="preserve">Centers for Disease Control and Prevention (CDC,2017). First Aid for Heat Illness. Retrieved from </w:t>
      </w:r>
      <w:hyperlink r:id="rId10">
        <w:r>
          <w:rPr>
            <w:color w:val="1155CC"/>
            <w:u w:val="single"/>
          </w:rPr>
          <w:t>https://stacks.cdc.gov/view/cdc/45849</w:t>
        </w:r>
      </w:hyperlink>
    </w:p>
    <w:p w14:paraId="56FF0912" w14:textId="77777777" w:rsidR="00F67CED" w:rsidRDefault="00DC11CE">
      <w:pPr>
        <w:widowControl w:val="0"/>
        <w:spacing w:before="0" w:line="234" w:lineRule="auto"/>
        <w:ind w:left="0" w:right="0"/>
        <w:jc w:val="left"/>
        <w:rPr>
          <w:color w:val="231F20"/>
        </w:rPr>
      </w:pPr>
      <w:r>
        <w:rPr>
          <w:color w:val="231F20"/>
        </w:rPr>
        <w:t xml:space="preserve"> </w:t>
      </w:r>
    </w:p>
    <w:p w14:paraId="110BEC6E" w14:textId="77777777" w:rsidR="00F67CED" w:rsidRDefault="00DC11CE">
      <w:pPr>
        <w:widowControl w:val="0"/>
        <w:spacing w:before="0" w:line="234" w:lineRule="auto"/>
        <w:ind w:left="720" w:right="330" w:hanging="720"/>
        <w:jc w:val="left"/>
        <w:rPr>
          <w:color w:val="1155CC"/>
          <w:u w:val="single"/>
        </w:rPr>
      </w:pPr>
      <w:r>
        <w:rPr>
          <w:color w:val="231F20"/>
        </w:rPr>
        <w:t xml:space="preserve">Colorado General Assembly. (2025). </w:t>
      </w:r>
      <w:r>
        <w:rPr>
          <w:i/>
          <w:iCs/>
          <w:color w:val="231F20"/>
        </w:rPr>
        <w:t>HB25-1286: Protecting workers from extreme temperatures</w:t>
      </w:r>
      <w:r>
        <w:rPr>
          <w:color w:val="231F20"/>
        </w:rPr>
        <w:t>.</w:t>
      </w:r>
      <w:hyperlink r:id="rId11">
        <w:r>
          <w:rPr>
            <w:color w:val="1155CC"/>
            <w:u w:val="single"/>
          </w:rPr>
          <w:t xml:space="preserve"> https://leg.colorado.gov/bills/hb25-1286</w:t>
        </w:r>
      </w:hyperlink>
    </w:p>
    <w:p w14:paraId="1179F93A" w14:textId="77777777" w:rsidR="00F67CED" w:rsidRDefault="00DC11CE">
      <w:pPr>
        <w:widowControl w:val="0"/>
        <w:spacing w:before="0" w:line="234" w:lineRule="auto"/>
        <w:ind w:left="720" w:right="330" w:hanging="720"/>
        <w:jc w:val="left"/>
        <w:rPr>
          <w:color w:val="231F20"/>
        </w:rPr>
      </w:pPr>
      <w:r>
        <w:rPr>
          <w:color w:val="231F20"/>
        </w:rPr>
        <w:t xml:space="preserve"> </w:t>
      </w:r>
    </w:p>
    <w:p w14:paraId="0F5AE191" w14:textId="77777777" w:rsidR="00F67CED" w:rsidRDefault="00DC11CE">
      <w:pPr>
        <w:widowControl w:val="0"/>
        <w:spacing w:before="0" w:line="234" w:lineRule="auto"/>
        <w:ind w:left="720" w:right="330" w:hanging="720"/>
        <w:jc w:val="left"/>
        <w:rPr>
          <w:color w:val="231F20"/>
        </w:rPr>
      </w:pPr>
      <w:r>
        <w:rPr>
          <w:color w:val="231F20"/>
        </w:rPr>
        <w:t xml:space="preserve">Minnesota Office of the Revisor of Statutes (2014). Minnesota administrative rules: Indoor ventilation and temperature in places of employment (Standard 5205.0110).  Retrieved from </w:t>
      </w:r>
      <w:hyperlink r:id="rId12">
        <w:r>
          <w:rPr>
            <w:color w:val="1155CC"/>
            <w:u w:val="single"/>
          </w:rPr>
          <w:t>https://www.revisor.mn.gov/rules/5205.0110/</w:t>
        </w:r>
      </w:hyperlink>
    </w:p>
    <w:p w14:paraId="2C8C33B2" w14:textId="77777777" w:rsidR="00F67CED" w:rsidRDefault="00F67CED">
      <w:pPr>
        <w:widowControl w:val="0"/>
        <w:spacing w:before="0" w:line="234" w:lineRule="auto"/>
        <w:ind w:left="720" w:right="330" w:hanging="720"/>
        <w:jc w:val="left"/>
        <w:rPr>
          <w:color w:val="231F20"/>
        </w:rPr>
      </w:pPr>
    </w:p>
    <w:p w14:paraId="19A7FA19" w14:textId="77777777" w:rsidR="00F67CED" w:rsidRDefault="00DC11CE">
      <w:pPr>
        <w:widowControl w:val="0"/>
        <w:spacing w:before="0" w:line="234" w:lineRule="auto"/>
        <w:ind w:left="0" w:right="330"/>
        <w:jc w:val="left"/>
        <w:rPr>
          <w:color w:val="231F20"/>
        </w:rPr>
      </w:pPr>
      <w:r>
        <w:rPr>
          <w:color w:val="231F20"/>
        </w:rPr>
        <w:t xml:space="preserve"> </w:t>
      </w:r>
    </w:p>
    <w:p w14:paraId="5C326107" w14:textId="77777777" w:rsidR="00F67CED" w:rsidRDefault="00DC11CE">
      <w:pPr>
        <w:widowControl w:val="0"/>
        <w:spacing w:before="0" w:line="234" w:lineRule="auto"/>
        <w:ind w:left="720" w:right="330" w:hanging="720"/>
        <w:jc w:val="left"/>
        <w:rPr>
          <w:color w:val="231F20"/>
        </w:rPr>
      </w:pPr>
      <w:r>
        <w:rPr>
          <w:color w:val="231F20"/>
        </w:rPr>
        <w:t xml:space="preserve">National Institute for Occupational Safety and Health. (2016). </w:t>
      </w:r>
      <w:r>
        <w:rPr>
          <w:i/>
          <w:iCs/>
          <w:color w:val="231F20"/>
        </w:rPr>
        <w:t>NIOSH criteria for a recommended standard: Occupational exposure to heat and hot environments</w:t>
      </w:r>
      <w:r>
        <w:rPr>
          <w:color w:val="231F20"/>
        </w:rPr>
        <w:t xml:space="preserve"> (DHHS [NIOSH] Publication No. 2016–106).</w:t>
      </w:r>
      <w:hyperlink r:id="rId13">
        <w:r>
          <w:rPr>
            <w:color w:val="231F20"/>
          </w:rPr>
          <w:t xml:space="preserve"> </w:t>
        </w:r>
      </w:hyperlink>
      <w:hyperlink r:id="rId14">
        <w:r>
          <w:rPr>
            <w:color w:val="1155CC"/>
            <w:u w:val="single"/>
          </w:rPr>
          <w:t>https://www.cdc.gov/niosh/docs/2016-106/pdfs/2016-106.pdf</w:t>
        </w:r>
      </w:hyperlink>
      <w:r>
        <w:rPr>
          <w:color w:val="231F20"/>
        </w:rPr>
        <w:t xml:space="preserve"> </w:t>
      </w:r>
    </w:p>
    <w:p w14:paraId="13C1427B" w14:textId="77777777" w:rsidR="00F67CED" w:rsidRDefault="00DC11CE">
      <w:pPr>
        <w:widowControl w:val="0"/>
        <w:spacing w:before="0" w:line="234" w:lineRule="auto"/>
        <w:ind w:left="720" w:right="330" w:hanging="720"/>
        <w:jc w:val="left"/>
        <w:rPr>
          <w:color w:val="231F20"/>
        </w:rPr>
      </w:pPr>
      <w:r>
        <w:rPr>
          <w:color w:val="231F20"/>
        </w:rPr>
        <w:t xml:space="preserve"> </w:t>
      </w:r>
    </w:p>
    <w:p w14:paraId="7820229A" w14:textId="77777777" w:rsidR="00F67CED" w:rsidRDefault="00DC11CE">
      <w:pPr>
        <w:widowControl w:val="0"/>
        <w:spacing w:before="0" w:line="234" w:lineRule="auto"/>
        <w:ind w:left="720" w:right="330" w:hanging="720"/>
        <w:jc w:val="left"/>
        <w:rPr>
          <w:color w:val="231F20"/>
          <w:u w:val="single"/>
        </w:rPr>
      </w:pPr>
      <w:r>
        <w:rPr>
          <w:color w:val="231F20"/>
        </w:rPr>
        <w:t xml:space="preserve">National Institute for Occupational Safety and  Health (2024). Hierarchy of controls.  Retrieved from  </w:t>
      </w:r>
      <w:hyperlink r:id="rId15">
        <w:r>
          <w:rPr>
            <w:color w:val="1155CC"/>
            <w:u w:val="single"/>
          </w:rPr>
          <w:t>https://www.cdc.gov/niosh/hierarchy-of-controls/about/index.html</w:t>
        </w:r>
      </w:hyperlink>
    </w:p>
    <w:p w14:paraId="03DC5773" w14:textId="77777777" w:rsidR="00F67CED" w:rsidRDefault="00DC11CE">
      <w:pPr>
        <w:widowControl w:val="0"/>
        <w:spacing w:before="0" w:line="234" w:lineRule="auto"/>
        <w:ind w:left="0" w:right="330"/>
        <w:jc w:val="left"/>
        <w:rPr>
          <w:color w:val="231F20"/>
        </w:rPr>
      </w:pPr>
      <w:r>
        <w:rPr>
          <w:color w:val="231F20"/>
        </w:rPr>
        <w:lastRenderedPageBreak/>
        <w:t xml:space="preserve"> </w:t>
      </w:r>
    </w:p>
    <w:p w14:paraId="371380AA" w14:textId="77777777" w:rsidR="00F67CED" w:rsidRDefault="00DC11CE">
      <w:pPr>
        <w:widowControl w:val="0"/>
        <w:spacing w:before="0" w:line="234" w:lineRule="auto"/>
        <w:ind w:left="720" w:right="330" w:hanging="720"/>
        <w:jc w:val="left"/>
        <w:rPr>
          <w:color w:val="1155CC"/>
          <w:u w:val="single"/>
        </w:rPr>
      </w:pPr>
      <w:r>
        <w:rPr>
          <w:color w:val="231F20"/>
        </w:rPr>
        <w:t xml:space="preserve">National Institute for Occupational Safety  and Health (2022). OSHA-NIOSH Heat  Safety Tool App. Retrieved from  </w:t>
      </w:r>
      <w:hyperlink r:id="rId16">
        <w:r>
          <w:rPr>
            <w:color w:val="1155CC"/>
            <w:u w:val="single"/>
          </w:rPr>
          <w:t>https://www.cdc.gov/niosh/topics/heatstress/heatapp.html</w:t>
        </w:r>
      </w:hyperlink>
    </w:p>
    <w:p w14:paraId="023BC1D8" w14:textId="77777777" w:rsidR="00F67CED" w:rsidRDefault="00DC11CE">
      <w:pPr>
        <w:widowControl w:val="0"/>
        <w:spacing w:before="0" w:line="234" w:lineRule="auto"/>
        <w:ind w:left="720" w:right="330" w:hanging="720"/>
        <w:jc w:val="left"/>
        <w:rPr>
          <w:color w:val="231F20"/>
        </w:rPr>
      </w:pPr>
      <w:r>
        <w:rPr>
          <w:color w:val="231F20"/>
        </w:rPr>
        <w:t xml:space="preserve"> </w:t>
      </w:r>
    </w:p>
    <w:p w14:paraId="498824E7" w14:textId="77777777" w:rsidR="00F67CED" w:rsidRDefault="00DC11CE">
      <w:pPr>
        <w:widowControl w:val="0"/>
        <w:spacing w:before="0" w:line="234" w:lineRule="auto"/>
        <w:ind w:left="720" w:right="330" w:hanging="720"/>
        <w:jc w:val="left"/>
        <w:rPr>
          <w:color w:val="231F20"/>
          <w:u w:val="single"/>
        </w:rPr>
      </w:pPr>
      <w:r>
        <w:rPr>
          <w:color w:val="231F20"/>
        </w:rPr>
        <w:t xml:space="preserve">O’Connor, F.G. &amp; Casa, D.J. (2019). Exertional illness in adolescents and adults: Management and prevention. Retrieved  from </w:t>
      </w:r>
      <w:hyperlink r:id="rId17">
        <w:r>
          <w:rPr>
            <w:color w:val="1155CC"/>
            <w:u w:val="single"/>
          </w:rPr>
          <w:t>https://www.uptodate.com/contents/exertional-heat-illness-in-adolescents-and-adults-management-and-prevention</w:t>
        </w:r>
      </w:hyperlink>
    </w:p>
    <w:p w14:paraId="06FC9CEC" w14:textId="77777777" w:rsidR="00F67CED" w:rsidRDefault="00F67CED">
      <w:pPr>
        <w:widowControl w:val="0"/>
        <w:spacing w:before="0" w:line="234" w:lineRule="auto"/>
        <w:ind w:left="0" w:right="330"/>
        <w:jc w:val="left"/>
        <w:rPr>
          <w:color w:val="231F20"/>
        </w:rPr>
      </w:pPr>
    </w:p>
    <w:p w14:paraId="241CBC8A" w14:textId="77777777" w:rsidR="00F67CED" w:rsidRDefault="00DC11CE">
      <w:pPr>
        <w:widowControl w:val="0"/>
        <w:spacing w:before="0" w:line="234" w:lineRule="auto"/>
        <w:ind w:left="720" w:right="330" w:hanging="720"/>
        <w:jc w:val="left"/>
        <w:rPr>
          <w:color w:val="231F20"/>
          <w:u w:val="single"/>
        </w:rPr>
      </w:pPr>
      <w:r>
        <w:rPr>
          <w:color w:val="231F20"/>
        </w:rPr>
        <w:t xml:space="preserve">Occupational Safety and Health Administration  (OSHA) (1970). </w:t>
      </w:r>
      <w:r>
        <w:rPr>
          <w:i/>
          <w:iCs/>
          <w:color w:val="231F20"/>
        </w:rPr>
        <w:t xml:space="preserve">General Duty Clause </w:t>
      </w:r>
      <w:r>
        <w:rPr>
          <w:color w:val="231F20"/>
        </w:rPr>
        <w:t xml:space="preserve">(Standard 29 USC 654). Retrieved from </w:t>
      </w:r>
      <w:hyperlink r:id="rId18">
        <w:r>
          <w:rPr>
            <w:color w:val="1155CC"/>
            <w:u w:val="single"/>
          </w:rPr>
          <w:t>https://www.osha.gov/laws-regs/oshact/completeoshact</w:t>
        </w:r>
      </w:hyperlink>
    </w:p>
    <w:p w14:paraId="7D79B373" w14:textId="77777777" w:rsidR="00F67CED" w:rsidRDefault="00DC11CE">
      <w:pPr>
        <w:widowControl w:val="0"/>
        <w:spacing w:before="0" w:line="234" w:lineRule="auto"/>
        <w:ind w:left="0" w:right="330"/>
        <w:jc w:val="left"/>
        <w:rPr>
          <w:color w:val="231F20"/>
        </w:rPr>
      </w:pPr>
      <w:r>
        <w:rPr>
          <w:color w:val="231F20"/>
        </w:rPr>
        <w:t xml:space="preserve"> </w:t>
      </w:r>
    </w:p>
    <w:p w14:paraId="40E64142" w14:textId="77777777" w:rsidR="00F67CED" w:rsidRDefault="00DC11CE">
      <w:pPr>
        <w:widowControl w:val="0"/>
        <w:spacing w:before="0" w:line="234" w:lineRule="auto"/>
        <w:ind w:left="720" w:right="330" w:hanging="720"/>
        <w:jc w:val="left"/>
        <w:rPr>
          <w:color w:val="231F20"/>
        </w:rPr>
      </w:pPr>
      <w:r>
        <w:rPr>
          <w:color w:val="231F20"/>
        </w:rPr>
        <w:t xml:space="preserve">Occupational Safety and Health  Administration (OSHA) (2022). National  Emphasis Program - Outdoor and Indoor  Heat-Related Hazards. Retrieved from  </w:t>
      </w:r>
      <w:hyperlink r:id="rId19">
        <w:r>
          <w:rPr>
            <w:color w:val="1155CC"/>
            <w:u w:val="single"/>
          </w:rPr>
          <w:t>https://www.osha.gov/sites/default/files/enforcement/directives/CPL_03-00-024.pd</w:t>
        </w:r>
      </w:hyperlink>
    </w:p>
    <w:p w14:paraId="5C624BD4" w14:textId="77777777" w:rsidR="00F67CED" w:rsidRDefault="00F67CED">
      <w:pPr>
        <w:widowControl w:val="0"/>
        <w:spacing w:before="0" w:line="234" w:lineRule="auto"/>
        <w:ind w:left="720" w:right="330" w:hanging="720"/>
        <w:jc w:val="left"/>
        <w:rPr>
          <w:color w:val="231F20"/>
        </w:rPr>
      </w:pPr>
    </w:p>
    <w:p w14:paraId="4203EF77" w14:textId="77777777" w:rsidR="00F67CED" w:rsidRDefault="00DC11CE">
      <w:pPr>
        <w:widowControl w:val="0"/>
        <w:spacing w:before="0" w:line="234" w:lineRule="auto"/>
        <w:ind w:left="720" w:right="330" w:hanging="720"/>
        <w:jc w:val="left"/>
        <w:rPr>
          <w:color w:val="231F20"/>
        </w:rPr>
      </w:pPr>
      <w:r>
        <w:rPr>
          <w:color w:val="231F20"/>
        </w:rPr>
        <w:t xml:space="preserve"> </w:t>
      </w:r>
    </w:p>
    <w:p w14:paraId="2C066DD7" w14:textId="77777777" w:rsidR="00F67CED" w:rsidRDefault="00DC11CE">
      <w:pPr>
        <w:widowControl w:val="0"/>
        <w:spacing w:before="0" w:line="234" w:lineRule="auto"/>
        <w:ind w:left="720" w:right="330" w:hanging="720"/>
        <w:jc w:val="left"/>
        <w:rPr>
          <w:color w:val="1155CC"/>
          <w:u w:val="single"/>
        </w:rPr>
      </w:pPr>
      <w:r>
        <w:rPr>
          <w:color w:val="231F20"/>
        </w:rPr>
        <w:t xml:space="preserve">Oregon Occupational Safety and Health Administration. (n.d.). </w:t>
      </w:r>
      <w:r>
        <w:rPr>
          <w:i/>
          <w:iCs/>
          <w:color w:val="231F20"/>
        </w:rPr>
        <w:t>Heat stress prevention</w:t>
      </w:r>
      <w:r>
        <w:rPr>
          <w:color w:val="231F20"/>
        </w:rPr>
        <w:t>. State of Oregon.</w:t>
      </w:r>
      <w:hyperlink r:id="rId20">
        <w:r>
          <w:rPr>
            <w:color w:val="1155CC"/>
            <w:u w:val="single"/>
          </w:rPr>
          <w:t xml:space="preserve"> https://osha.oregon.gov/Pages/topics/heat-stress.aspx</w:t>
        </w:r>
      </w:hyperlink>
    </w:p>
    <w:p w14:paraId="0DB0A122" w14:textId="77777777" w:rsidR="00F67CED" w:rsidRDefault="00DC11CE">
      <w:pPr>
        <w:widowControl w:val="0"/>
        <w:spacing w:before="0" w:line="234" w:lineRule="auto"/>
        <w:ind w:left="720" w:right="330" w:hanging="720"/>
        <w:jc w:val="left"/>
        <w:rPr>
          <w:color w:val="231F20"/>
        </w:rPr>
      </w:pPr>
      <w:r>
        <w:rPr>
          <w:color w:val="231F20"/>
        </w:rPr>
        <w:t xml:space="preserve"> </w:t>
      </w:r>
    </w:p>
    <w:p w14:paraId="4C224887" w14:textId="77777777" w:rsidR="00F67CED" w:rsidRDefault="00DC11CE">
      <w:pPr>
        <w:widowControl w:val="0"/>
        <w:spacing w:before="0" w:line="234" w:lineRule="auto"/>
        <w:ind w:left="720" w:right="330" w:hanging="720"/>
        <w:jc w:val="left"/>
        <w:rPr>
          <w:color w:val="1155CC"/>
          <w:u w:val="single"/>
        </w:rPr>
      </w:pPr>
      <w:r>
        <w:rPr>
          <w:color w:val="231F20"/>
        </w:rPr>
        <w:t xml:space="preserve">Riley, K., Wilhalme, H., Delp, L., &amp; Eisenman, D. P. (2018). Mortality and morbidity during extreme heat events and prevalence of outdoor work: An analysis of community-level data from Los Angeles County, California. </w:t>
      </w:r>
      <w:r>
        <w:rPr>
          <w:i/>
          <w:iCs/>
          <w:color w:val="231F20"/>
        </w:rPr>
        <w:t>International Journal of Environmental Research and Public Health, 15</w:t>
      </w:r>
      <w:r>
        <w:rPr>
          <w:color w:val="231F20"/>
        </w:rPr>
        <w:t>(4), 580.</w:t>
      </w:r>
      <w:hyperlink r:id="rId21">
        <w:r>
          <w:rPr>
            <w:color w:val="231F20"/>
          </w:rPr>
          <w:t xml:space="preserve"> </w:t>
        </w:r>
      </w:hyperlink>
      <w:hyperlink r:id="rId22">
        <w:r>
          <w:rPr>
            <w:color w:val="1155CC"/>
            <w:u w:val="single"/>
          </w:rPr>
          <w:t>https://pmc.ncbi.nlm.nih.gov/articles/PMC5923622/</w:t>
        </w:r>
      </w:hyperlink>
    </w:p>
    <w:p w14:paraId="5A453F34" w14:textId="77777777" w:rsidR="00F67CED" w:rsidRDefault="00DC11CE">
      <w:pPr>
        <w:widowControl w:val="0"/>
        <w:spacing w:before="0" w:line="234" w:lineRule="auto"/>
        <w:ind w:left="720" w:right="330" w:hanging="720"/>
        <w:jc w:val="left"/>
        <w:rPr>
          <w:color w:val="231F20"/>
        </w:rPr>
      </w:pPr>
      <w:r>
        <w:rPr>
          <w:color w:val="231F20"/>
        </w:rPr>
        <w:t xml:space="preserve"> </w:t>
      </w:r>
    </w:p>
    <w:p w14:paraId="2D9697C4" w14:textId="77777777" w:rsidR="00F67CED" w:rsidRDefault="00DC11CE">
      <w:pPr>
        <w:widowControl w:val="0"/>
        <w:spacing w:before="0" w:line="234" w:lineRule="auto"/>
        <w:ind w:left="720" w:right="0" w:hanging="720"/>
        <w:jc w:val="left"/>
        <w:rPr>
          <w:color w:val="1155CC"/>
          <w:u w:val="single"/>
        </w:rPr>
      </w:pPr>
      <w:r>
        <w:rPr>
          <w:color w:val="231F20"/>
        </w:rPr>
        <w:t xml:space="preserve">Tustin, A., Sayeed, Y., Berenji, M., Fagan, K., McCarthy, R. B., Green-McKenzie, J., McNicholas, J., Onigbogi, C. B., Perkison, W. B., &amp; Butler, J. W. (2021). </w:t>
      </w:r>
      <w:r>
        <w:rPr>
          <w:i/>
          <w:iCs/>
          <w:color w:val="231F20"/>
        </w:rPr>
        <w:t>Prevention of occupational heat-related illnesses</w:t>
      </w:r>
      <w:r>
        <w:rPr>
          <w:color w:val="231F20"/>
        </w:rPr>
        <w:t>. Journal of Occupational and Environmental Medicine, 63(10), e737–e744.</w:t>
      </w:r>
      <w:hyperlink r:id="rId23">
        <w:r>
          <w:rPr>
            <w:color w:val="1155CC"/>
            <w:u w:val="single"/>
          </w:rPr>
          <w:t xml:space="preserve"> https://acoem.org/acoem/media/News-Library/Prevention_of_Occupational_Heat_Related_Illnesses-25.pdf</w:t>
        </w:r>
      </w:hyperlink>
    </w:p>
    <w:p w14:paraId="054906EF" w14:textId="77777777" w:rsidR="00F67CED" w:rsidRDefault="00DC11CE">
      <w:pPr>
        <w:widowControl w:val="0"/>
        <w:spacing w:before="0" w:line="234" w:lineRule="auto"/>
        <w:ind w:left="720" w:right="0" w:hanging="720"/>
        <w:jc w:val="left"/>
        <w:rPr>
          <w:color w:val="231F20"/>
        </w:rPr>
      </w:pPr>
      <w:r>
        <w:rPr>
          <w:color w:val="231F20"/>
        </w:rPr>
        <w:t xml:space="preserve"> </w:t>
      </w:r>
    </w:p>
    <w:p w14:paraId="5D9BB24C" w14:textId="77777777" w:rsidR="00F67CED" w:rsidRDefault="00DC11CE">
      <w:pPr>
        <w:widowControl w:val="0"/>
        <w:spacing w:before="0" w:line="234" w:lineRule="auto"/>
        <w:ind w:left="720" w:right="0" w:hanging="720"/>
        <w:jc w:val="left"/>
        <w:rPr>
          <w:color w:val="1155CC"/>
          <w:u w:val="single"/>
        </w:rPr>
      </w:pPr>
      <w:r>
        <w:rPr>
          <w:color w:val="231F20"/>
        </w:rPr>
        <w:t xml:space="preserve">Washington State Department of Labor &amp; Industries  (n.d.). The outdoor heat exposure rule (WAC 296-62-095). Retrieved from  </w:t>
      </w:r>
      <w:hyperlink r:id="rId24">
        <w:r>
          <w:rPr>
            <w:color w:val="1155CC"/>
            <w:u w:val="single"/>
          </w:rPr>
          <w:t>https://www.lni.wa.gov/Safety/Topics/AtoZ /HeatStress/rules.asp</w:t>
        </w:r>
      </w:hyperlink>
    </w:p>
    <w:p w14:paraId="391405A5" w14:textId="77777777" w:rsidR="00F67CED" w:rsidRDefault="00DC11CE">
      <w:pPr>
        <w:widowControl w:val="0"/>
        <w:spacing w:before="221" w:line="240" w:lineRule="auto"/>
        <w:ind w:left="2" w:right="4"/>
        <w:jc w:val="left"/>
        <w:rPr>
          <w:color w:val="000000"/>
        </w:rPr>
      </w:pPr>
      <w:r>
        <w:t>Revised 7/19; 10/23; 05/26 (</w:t>
      </w:r>
      <w:r>
        <w:rPr>
          <w:i/>
          <w:iCs/>
          <w:sz w:val="17"/>
          <w:szCs w:val="17"/>
        </w:rPr>
        <w:t>AAOHN Practice Committee)</w:t>
      </w:r>
    </w:p>
    <w:sectPr w:rsidR="00F67CED">
      <w:type w:val="continuous"/>
      <w:pgSz w:w="12240" w:h="15840"/>
      <w:pgMar w:top="1411" w:right="1693" w:bottom="1118" w:left="1802" w:header="0" w:footer="720" w:gutter="0"/>
      <w:cols w:num="2" w:space="720" w:equalWidth="0">
        <w:col w:w="4380" w:space="0"/>
        <w:col w:w="438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7869D9C9-9D4F-4338-86CB-782F64B9502B}"/>
  </w:font>
  <w:font w:name="Roboto">
    <w:charset w:val="00"/>
    <w:family w:val="auto"/>
    <w:pitch w:val="variable"/>
    <w:sig w:usb0="E0000AFF" w:usb1="5000217F" w:usb2="00000021" w:usb3="00000000" w:csb0="0000019F" w:csb1="00000000"/>
    <w:embedRegular r:id="rId2" w:fontKey="{22B087A7-63E5-44D8-A37C-4080BC41CB8B}"/>
  </w:font>
  <w:font w:name="Calibri">
    <w:panose1 w:val="020F0502020204030204"/>
    <w:charset w:val="00"/>
    <w:family w:val="swiss"/>
    <w:pitch w:val="variable"/>
    <w:sig w:usb0="E4002EFF" w:usb1="C200247B" w:usb2="00000009" w:usb3="00000000" w:csb0="000001FF" w:csb1="00000000"/>
    <w:embedRegular r:id="rId3" w:fontKey="{2C331644-F304-451E-95D6-1A7A383BF12B}"/>
  </w:font>
  <w:font w:name="Cambria">
    <w:panose1 w:val="02040503050406030204"/>
    <w:charset w:val="00"/>
    <w:family w:val="roman"/>
    <w:pitch w:val="variable"/>
    <w:sig w:usb0="E00006FF" w:usb1="420024FF" w:usb2="02000000" w:usb3="00000000" w:csb0="0000019F" w:csb1="00000000"/>
    <w:embedRegular r:id="rId4" w:fontKey="{D30ABA88-C7F2-4C23-B0A9-5CA6DAE7D95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ED"/>
    <w:rsid w:val="004C1B71"/>
    <w:rsid w:val="0076712E"/>
    <w:rsid w:val="00DC11CE"/>
    <w:rsid w:val="00F67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B90BA"/>
  <w15:docId w15:val="{F45508DB-AB46-42D9-A8F6-444061BDE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6"/>
        <w:szCs w:val="16"/>
        <w:lang w:val="en-US" w:eastAsia="en-US" w:bidi="ar-SA"/>
      </w:rPr>
    </w:rPrDefault>
    <w:pPrDefault>
      <w:pPr>
        <w:spacing w:before="216" w:line="236" w:lineRule="auto"/>
        <w:ind w:left="300" w:right="1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dc.gov/niosh/heat-stress/about/index.html" TargetMode="External"/><Relationship Id="rId13" Type="http://schemas.openxmlformats.org/officeDocument/2006/relationships/hyperlink" Target="https://www.cdc.gov/niosh/docs/2016-106/pdfs/2016-106.pdf" TargetMode="External"/><Relationship Id="rId18" Type="http://schemas.openxmlformats.org/officeDocument/2006/relationships/hyperlink" Target="https://www.osha.gov/laws-regs/oshact/completeoshact"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pmc.ncbi.nlm.nih.gov/articles/PMC5923622/" TargetMode="External"/><Relationship Id="rId7" Type="http://schemas.openxmlformats.org/officeDocument/2006/relationships/hyperlink" Target="https://www.dir.ca.gov/title8/3395.html" TargetMode="External"/><Relationship Id="rId12" Type="http://schemas.openxmlformats.org/officeDocument/2006/relationships/hyperlink" Target="https://www.revisor.mn.gov/rules/5205.0110/" TargetMode="External"/><Relationship Id="rId17" Type="http://schemas.openxmlformats.org/officeDocument/2006/relationships/hyperlink" Target="https://www.uptodate.com/contents/exertional-heat-illness-in-adolescents-and-adults-management-and-prevention"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cdc.gov/niosh/topics/heatstress/heatapp.html" TargetMode="External"/><Relationship Id="rId20" Type="http://schemas.openxmlformats.org/officeDocument/2006/relationships/hyperlink" Target="https://osha.oregon.gov/Pages/topics/heat-stress.aspx?utm_source=chatgpt.com" TargetMode="External"/><Relationship Id="rId1" Type="http://schemas.openxmlformats.org/officeDocument/2006/relationships/styles" Target="styles.xml"/><Relationship Id="rId6" Type="http://schemas.openxmlformats.org/officeDocument/2006/relationships/hyperlink" Target="http://aaohn.org/page/vision-mission" TargetMode="External"/><Relationship Id="rId11" Type="http://schemas.openxmlformats.org/officeDocument/2006/relationships/hyperlink" Target="https://leg.colorado.gov/bills/hb25-1286" TargetMode="External"/><Relationship Id="rId24" Type="http://schemas.openxmlformats.org/officeDocument/2006/relationships/hyperlink" Target="https://www.lni.wa.gov/Safety/Topics/AtoZ%20/HeatStress/rules.asp" TargetMode="External"/><Relationship Id="rId5" Type="http://schemas.openxmlformats.org/officeDocument/2006/relationships/hyperlink" Target="http://et.al" TargetMode="External"/><Relationship Id="rId15" Type="http://schemas.openxmlformats.org/officeDocument/2006/relationships/hyperlink" Target="https://www.cdc.gov/niosh/hierarchy-of-controls/about/index.html" TargetMode="External"/><Relationship Id="rId23" Type="http://schemas.openxmlformats.org/officeDocument/2006/relationships/hyperlink" Target="https://acoem.org/acoem/media/News-Library/Prevention_of_Occupational_Heat_Related_Illnesses-25.pdf" TargetMode="External"/><Relationship Id="rId10" Type="http://schemas.openxmlformats.org/officeDocument/2006/relationships/hyperlink" Target="https://stacks.cdc.gov/view/cdc/45849" TargetMode="External"/><Relationship Id="rId19" Type="http://schemas.openxmlformats.org/officeDocument/2006/relationships/hyperlink" Target="https://www.osha.gov/sites/default/files/enforcement/directives/CPL_03-00-024.pd" TargetMode="External"/><Relationship Id="rId4" Type="http://schemas.openxmlformats.org/officeDocument/2006/relationships/image" Target="media/image1.png"/><Relationship Id="rId9" Type="http://schemas.openxmlformats.org/officeDocument/2006/relationships/hyperlink" Target="https://www.cdc.gov/niosh/heat-stress/recommendations/index.html" TargetMode="External"/><Relationship Id="rId14" Type="http://schemas.openxmlformats.org/officeDocument/2006/relationships/hyperlink" Target="https://www.cdc.gov/niosh/docs/2016-106/pdfs/2016-106.pdf" TargetMode="External"/><Relationship Id="rId22" Type="http://schemas.openxmlformats.org/officeDocument/2006/relationships/hyperlink" Target="https://pmc.ncbi.nlm.nih.gov/articles/PMC592362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2117</Words>
  <Characters>12073</Characters>
  <Application>Microsoft Office Word</Application>
  <DocSecurity>0</DocSecurity>
  <Lines>100</Lines>
  <Paragraphs>28</Paragraphs>
  <ScaleCrop>false</ScaleCrop>
  <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Tamkus</dc:creator>
  <cp:lastModifiedBy>Kristin Tamkus</cp:lastModifiedBy>
  <cp:revision>2</cp:revision>
  <dcterms:created xsi:type="dcterms:W3CDTF">2026-07-24T13:33:00Z</dcterms:created>
  <dcterms:modified xsi:type="dcterms:W3CDTF">2026-07-24T13:33:00Z</dcterms:modified>
</cp:coreProperties>
</file>